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6304" w14:textId="77777777" w:rsidR="003F1AB4" w:rsidRDefault="003F1AB4">
      <w:pPr>
        <w:pStyle w:val="BodyText"/>
        <w:spacing w:before="2"/>
        <w:rPr>
          <w:rFonts w:ascii="Calibri"/>
          <w:sz w:val="28"/>
        </w:rPr>
      </w:pPr>
    </w:p>
    <w:p w14:paraId="003301EC" w14:textId="77777777" w:rsidR="003F1AB4" w:rsidRDefault="003F1AB4">
      <w:pPr>
        <w:pStyle w:val="BodyText"/>
        <w:spacing w:before="10"/>
        <w:rPr>
          <w:rFonts w:ascii="Calibri"/>
          <w:sz w:val="16"/>
        </w:rPr>
      </w:pPr>
    </w:p>
    <w:p w14:paraId="3FDD5C14" w14:textId="04C910A3" w:rsidR="003F1AB4" w:rsidRDefault="002F64BE" w:rsidP="00BB33CA">
      <w:pPr>
        <w:spacing w:before="97" w:line="235" w:lineRule="auto"/>
        <w:ind w:left="681"/>
        <w:rPr>
          <w:rFonts w:ascii="Calibri"/>
          <w:b/>
          <w:sz w:val="26"/>
        </w:rPr>
      </w:pPr>
      <w:r>
        <w:rPr>
          <w:rFonts w:ascii="Calibri"/>
          <w:b/>
          <w:w w:val="105"/>
          <w:sz w:val="26"/>
        </w:rPr>
        <w:t>Nrf2 Induction of Antioxidant Response Increases Bioactivation of the Mutagenic Air Pollutant 3-Nitrobenzanthrone</w:t>
      </w:r>
    </w:p>
    <w:p w14:paraId="2A223E97" w14:textId="77777777" w:rsidR="003F1AB4" w:rsidRDefault="002F64BE">
      <w:pPr>
        <w:spacing w:before="79"/>
        <w:ind w:left="681"/>
        <w:rPr>
          <w:rFonts w:ascii="Book Antiqua"/>
          <w:i/>
          <w:sz w:val="13"/>
        </w:rPr>
      </w:pPr>
      <w:r>
        <w:rPr>
          <w:rFonts w:ascii="Book Antiqua"/>
          <w:i/>
        </w:rPr>
        <w:t>Jessica R. Murray</w:t>
      </w:r>
      <w:r>
        <w:rPr>
          <w:rFonts w:ascii="Book Antiqua"/>
          <w:i/>
          <w:position w:val="7"/>
          <w:sz w:val="13"/>
        </w:rPr>
        <w:t>1</w:t>
      </w:r>
      <w:r>
        <w:rPr>
          <w:rFonts w:ascii="Book Antiqua"/>
          <w:i/>
        </w:rPr>
        <w:t>, Laureano de la Vega</w:t>
      </w:r>
      <w:r>
        <w:rPr>
          <w:rFonts w:ascii="Book Antiqua"/>
          <w:i/>
          <w:position w:val="7"/>
          <w:sz w:val="13"/>
        </w:rPr>
        <w:t>2</w:t>
      </w:r>
      <w:r>
        <w:rPr>
          <w:rFonts w:ascii="Book Antiqua"/>
          <w:i/>
        </w:rPr>
        <w:t>, John D. Hayes</w:t>
      </w:r>
      <w:r>
        <w:rPr>
          <w:rFonts w:ascii="Book Antiqua"/>
          <w:i/>
          <w:position w:val="7"/>
          <w:sz w:val="13"/>
        </w:rPr>
        <w:t>2</w:t>
      </w:r>
      <w:r>
        <w:rPr>
          <w:rFonts w:ascii="Book Antiqua"/>
          <w:i/>
        </w:rPr>
        <w:t>, and Trevor M. Penning</w:t>
      </w:r>
      <w:r>
        <w:rPr>
          <w:rFonts w:ascii="Book Antiqua"/>
          <w:i/>
          <w:position w:val="7"/>
          <w:sz w:val="13"/>
        </w:rPr>
        <w:t>1</w:t>
      </w:r>
    </w:p>
    <w:p w14:paraId="7EC7E81D" w14:textId="77777777" w:rsidR="003F1AB4" w:rsidRDefault="002F64BE">
      <w:pPr>
        <w:spacing w:before="89" w:line="216" w:lineRule="auto"/>
        <w:ind w:left="681" w:right="142" w:hanging="1"/>
        <w:rPr>
          <w:rFonts w:ascii="Book Antiqua"/>
          <w:i/>
        </w:rPr>
      </w:pPr>
      <w:r>
        <w:rPr>
          <w:rFonts w:ascii="Book Antiqua"/>
          <w:i/>
          <w:w w:val="95"/>
          <w:position w:val="7"/>
          <w:sz w:val="13"/>
        </w:rPr>
        <w:t>1</w:t>
      </w:r>
      <w:r>
        <w:rPr>
          <w:rFonts w:ascii="Book Antiqua"/>
          <w:i/>
          <w:w w:val="95"/>
        </w:rPr>
        <w:t>Center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of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Excellence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in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Environmental</w:t>
      </w:r>
      <w:r>
        <w:rPr>
          <w:rFonts w:ascii="Book Antiqua"/>
          <w:i/>
          <w:spacing w:val="-36"/>
          <w:w w:val="95"/>
        </w:rPr>
        <w:t xml:space="preserve"> </w:t>
      </w:r>
      <w:r>
        <w:rPr>
          <w:rFonts w:ascii="Book Antiqua"/>
          <w:i/>
          <w:spacing w:val="-4"/>
          <w:w w:val="95"/>
        </w:rPr>
        <w:t>Toxicology,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Department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of</w:t>
      </w:r>
      <w:r>
        <w:rPr>
          <w:rFonts w:ascii="Book Antiqua"/>
          <w:i/>
          <w:spacing w:val="-31"/>
          <w:w w:val="95"/>
        </w:rPr>
        <w:t xml:space="preserve"> </w:t>
      </w:r>
      <w:r>
        <w:rPr>
          <w:rFonts w:ascii="Book Antiqua"/>
          <w:i/>
          <w:w w:val="95"/>
        </w:rPr>
        <w:t>Systems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Pharmacology</w:t>
      </w:r>
      <w:r>
        <w:rPr>
          <w:rFonts w:ascii="Book Antiqua"/>
          <w:i/>
          <w:spacing w:val="-32"/>
          <w:w w:val="95"/>
        </w:rPr>
        <w:t xml:space="preserve"> </w:t>
      </w:r>
      <w:r>
        <w:rPr>
          <w:rFonts w:ascii="Book Antiqua"/>
          <w:i/>
          <w:w w:val="95"/>
        </w:rPr>
        <w:t>and</w:t>
      </w:r>
      <w:r>
        <w:rPr>
          <w:rFonts w:ascii="Book Antiqua"/>
          <w:i/>
          <w:spacing w:val="-36"/>
          <w:w w:val="95"/>
        </w:rPr>
        <w:t xml:space="preserve"> </w:t>
      </w:r>
      <w:r>
        <w:rPr>
          <w:rFonts w:ascii="Book Antiqua"/>
          <w:i/>
          <w:spacing w:val="-3"/>
          <w:w w:val="95"/>
        </w:rPr>
        <w:t xml:space="preserve">Translational </w:t>
      </w:r>
      <w:r>
        <w:rPr>
          <w:rFonts w:ascii="Book Antiqua"/>
          <w:i/>
          <w:w w:val="90"/>
        </w:rPr>
        <w:t xml:space="preserve">Therapeutics, University of Pennsylvania, Philadelphia, Pennsylvania, U.S.A.; </w:t>
      </w:r>
      <w:r>
        <w:rPr>
          <w:rFonts w:ascii="Book Antiqua"/>
          <w:i/>
          <w:w w:val="90"/>
          <w:position w:val="7"/>
          <w:sz w:val="13"/>
        </w:rPr>
        <w:t>2</w:t>
      </w:r>
      <w:r>
        <w:rPr>
          <w:rFonts w:ascii="Book Antiqua"/>
          <w:i/>
          <w:w w:val="90"/>
        </w:rPr>
        <w:t xml:space="preserve">Jacqui </w:t>
      </w:r>
      <w:r>
        <w:rPr>
          <w:rFonts w:ascii="Book Antiqua"/>
          <w:i/>
          <w:spacing w:val="-5"/>
          <w:w w:val="90"/>
        </w:rPr>
        <w:t xml:space="preserve">Wood </w:t>
      </w:r>
      <w:r>
        <w:rPr>
          <w:rFonts w:ascii="Book Antiqua"/>
          <w:i/>
          <w:w w:val="90"/>
        </w:rPr>
        <w:t xml:space="preserve">Cancer Centre, </w:t>
      </w:r>
      <w:r>
        <w:rPr>
          <w:rFonts w:ascii="Book Antiqua"/>
          <w:i/>
          <w:w w:val="95"/>
        </w:rPr>
        <w:t>Division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of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Cellular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Medicine,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Ninewells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Hospital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and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Medical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School,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University</w:t>
      </w:r>
      <w:r>
        <w:rPr>
          <w:rFonts w:ascii="Book Antiqua"/>
          <w:i/>
          <w:spacing w:val="-24"/>
          <w:w w:val="95"/>
        </w:rPr>
        <w:t xml:space="preserve"> </w:t>
      </w:r>
      <w:r>
        <w:rPr>
          <w:rFonts w:ascii="Book Antiqua"/>
          <w:i/>
          <w:w w:val="95"/>
        </w:rPr>
        <w:t>of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Dundee,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w w:val="95"/>
        </w:rPr>
        <w:t>Dundee</w:t>
      </w:r>
      <w:r>
        <w:rPr>
          <w:rFonts w:ascii="Book Antiqua"/>
          <w:i/>
          <w:spacing w:val="-25"/>
          <w:w w:val="95"/>
        </w:rPr>
        <w:t xml:space="preserve"> </w:t>
      </w:r>
      <w:r>
        <w:rPr>
          <w:rFonts w:ascii="Book Antiqua"/>
          <w:i/>
          <w:spacing w:val="-5"/>
          <w:w w:val="95"/>
        </w:rPr>
        <w:t xml:space="preserve">DD1 </w:t>
      </w:r>
      <w:r>
        <w:rPr>
          <w:rFonts w:ascii="Book Antiqua"/>
          <w:i/>
          <w:spacing w:val="-5"/>
        </w:rPr>
        <w:t xml:space="preserve">9SY, </w:t>
      </w:r>
      <w:r>
        <w:rPr>
          <w:rFonts w:ascii="Book Antiqua"/>
          <w:i/>
        </w:rPr>
        <w:t>Scotland,</w:t>
      </w:r>
      <w:r>
        <w:rPr>
          <w:rFonts w:ascii="Book Antiqua"/>
          <w:i/>
          <w:spacing w:val="2"/>
        </w:rPr>
        <w:t xml:space="preserve"> </w:t>
      </w:r>
      <w:r>
        <w:rPr>
          <w:rFonts w:ascii="Book Antiqua"/>
          <w:i/>
        </w:rPr>
        <w:t>UK</w:t>
      </w:r>
    </w:p>
    <w:p w14:paraId="5620A8C1" w14:textId="77777777" w:rsidR="003F1AB4" w:rsidRDefault="002F64BE">
      <w:pPr>
        <w:spacing w:before="89"/>
        <w:ind w:left="681"/>
        <w:rPr>
          <w:rFonts w:ascii="Book Antiqua"/>
          <w:i/>
        </w:rPr>
      </w:pPr>
      <w:r>
        <w:rPr>
          <w:rFonts w:ascii="Book Antiqua"/>
          <w:i/>
        </w:rPr>
        <w:t xml:space="preserve">Email: </w:t>
      </w:r>
      <w:hyperlink r:id="rId6">
        <w:r>
          <w:rPr>
            <w:rFonts w:ascii="Book Antiqua"/>
            <w:i/>
          </w:rPr>
          <w:t>murr</w:t>
        </w:r>
      </w:hyperlink>
      <w:hyperlink r:id="rId7">
        <w:r>
          <w:rPr>
            <w:rFonts w:ascii="Book Antiqua"/>
            <w:i/>
          </w:rPr>
          <w:t>ayj@pennmedicine.upenn.edu</w:t>
        </w:r>
      </w:hyperlink>
    </w:p>
    <w:p w14:paraId="3DF6D6A5" w14:textId="77777777" w:rsidR="003F1AB4" w:rsidRDefault="002F64BE">
      <w:pPr>
        <w:pStyle w:val="BodyText"/>
        <w:spacing w:before="141" w:line="249" w:lineRule="auto"/>
        <w:ind w:left="681" w:right="135"/>
        <w:jc w:val="both"/>
      </w:pPr>
      <w:r>
        <w:t>3-Nitrobenzanthrone</w:t>
      </w:r>
      <w:r>
        <w:rPr>
          <w:spacing w:val="-20"/>
        </w:rPr>
        <w:t xml:space="preserve"> </w:t>
      </w:r>
      <w:r>
        <w:t>(3-NBA)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potent</w:t>
      </w:r>
      <w:r>
        <w:rPr>
          <w:spacing w:val="-20"/>
        </w:rPr>
        <w:t xml:space="preserve"> </w:t>
      </w:r>
      <w:r>
        <w:t>mutagen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suspected</w:t>
      </w:r>
      <w:r>
        <w:rPr>
          <w:spacing w:val="-19"/>
        </w:rPr>
        <w:t xml:space="preserve"> </w:t>
      </w:r>
      <w:r>
        <w:t>human</w:t>
      </w:r>
      <w:r>
        <w:rPr>
          <w:spacing w:val="-19"/>
        </w:rPr>
        <w:t xml:space="preserve"> </w:t>
      </w:r>
      <w:r>
        <w:t>carcinogen</w:t>
      </w:r>
      <w:r>
        <w:rPr>
          <w:spacing w:val="-20"/>
        </w:rPr>
        <w:t xml:space="preserve"> </w:t>
      </w:r>
      <w:r>
        <w:t>detected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 xml:space="preserve">diesel exhaust particulate and ambient air pollution. It requires metabolic activation via </w:t>
      </w:r>
      <w:proofErr w:type="spellStart"/>
      <w:r>
        <w:t>nitroreduction</w:t>
      </w:r>
      <w:proofErr w:type="spellEnd"/>
      <w:r>
        <w:t xml:space="preserve"> to promote DNA adduct formation and tumorigenesis. NAD(P)</w:t>
      </w:r>
      <w:proofErr w:type="spellStart"/>
      <w:proofErr w:type="gramStart"/>
      <w:r>
        <w:t>H:quinone</w:t>
      </w:r>
      <w:proofErr w:type="spellEnd"/>
      <w:proofErr w:type="gramEnd"/>
      <w:r>
        <w:t xml:space="preserve"> oxidoreductase 1 (NQO1) has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implicated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major</w:t>
      </w:r>
      <w:r>
        <w:rPr>
          <w:spacing w:val="-11"/>
        </w:rPr>
        <w:t xml:space="preserve"> </w:t>
      </w:r>
      <w:proofErr w:type="spellStart"/>
      <w:r>
        <w:t>nitroreductase</w:t>
      </w:r>
      <w:proofErr w:type="spellEnd"/>
      <w:r>
        <w:rPr>
          <w:spacing w:val="-11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3-NBA</w:t>
      </w:r>
      <w:r>
        <w:rPr>
          <w:spacing w:val="-11"/>
        </w:rPr>
        <w:t xml:space="preserve"> </w:t>
      </w:r>
      <w:r>
        <w:t>activation.</w:t>
      </w:r>
      <w:r>
        <w:rPr>
          <w:spacing w:val="-13"/>
        </w:rPr>
        <w:t xml:space="preserve"> </w:t>
      </w:r>
      <w:r>
        <w:rPr>
          <w:spacing w:val="-8"/>
        </w:rPr>
        <w:t>We</w:t>
      </w:r>
      <w:r>
        <w:rPr>
          <w:spacing w:val="-11"/>
        </w:rPr>
        <w:t xml:space="preserve"> </w:t>
      </w:r>
      <w:r>
        <w:t>investigate</w:t>
      </w:r>
      <w:r>
        <w:rPr>
          <w:spacing w:val="-11"/>
        </w:rPr>
        <w:t xml:space="preserve"> </w:t>
      </w:r>
      <w:r>
        <w:t>the roles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human</w:t>
      </w:r>
      <w:r>
        <w:rPr>
          <w:spacing w:val="-11"/>
        </w:rPr>
        <w:t xml:space="preserve"> </w:t>
      </w:r>
      <w:proofErr w:type="spellStart"/>
      <w:r>
        <w:t>aldo</w:t>
      </w:r>
      <w:proofErr w:type="spellEnd"/>
      <w:r>
        <w:t>-keto</w:t>
      </w:r>
      <w:r>
        <w:rPr>
          <w:spacing w:val="-10"/>
        </w:rPr>
        <w:t xml:space="preserve"> </w:t>
      </w:r>
      <w:r>
        <w:t>reductases</w:t>
      </w:r>
      <w:r>
        <w:rPr>
          <w:spacing w:val="-11"/>
        </w:rPr>
        <w:t xml:space="preserve"> </w:t>
      </w:r>
      <w:r>
        <w:t>(AKR1C1-1C3)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3-NBA</w:t>
      </w:r>
      <w:r>
        <w:rPr>
          <w:spacing w:val="-10"/>
        </w:rPr>
        <w:t xml:space="preserve"> </w:t>
      </w:r>
      <w:r>
        <w:t>reduction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catalytic</w:t>
      </w:r>
      <w:r>
        <w:rPr>
          <w:spacing w:val="-10"/>
        </w:rPr>
        <w:t xml:space="preserve"> </w:t>
      </w:r>
      <w:proofErr w:type="spellStart"/>
      <w:r>
        <w:t>ef</w:t>
      </w:r>
      <w:proofErr w:type="spellEnd"/>
      <w:r>
        <w:t xml:space="preserve">- </w:t>
      </w:r>
      <w:proofErr w:type="spellStart"/>
      <w:r>
        <w:t>ficiencies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rPr>
          <w:rFonts w:ascii="Book Antiqua"/>
          <w:i/>
        </w:rPr>
        <w:t>k</w:t>
      </w:r>
      <w:r>
        <w:t>cat</w:t>
      </w:r>
      <w:proofErr w:type="spellEnd"/>
      <w:r>
        <w:t>/</w:t>
      </w:r>
      <w:r>
        <w:rPr>
          <w:rFonts w:ascii="Book Antiqua"/>
          <w:i/>
        </w:rPr>
        <w:t>K</w:t>
      </w:r>
      <w:r>
        <w:t>M)</w:t>
      </w:r>
      <w:r>
        <w:rPr>
          <w:spacing w:val="-14"/>
        </w:rPr>
        <w:t xml:space="preserve"> </w:t>
      </w:r>
      <w:r>
        <w:t>values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AKR1C1,</w:t>
      </w:r>
      <w:r>
        <w:rPr>
          <w:spacing w:val="-14"/>
        </w:rPr>
        <w:t xml:space="preserve"> </w:t>
      </w:r>
      <w:r>
        <w:t>AKR1C3,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NQO1</w:t>
      </w:r>
      <w:r>
        <w:rPr>
          <w:spacing w:val="-14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equivalent.</w:t>
      </w:r>
      <w:r>
        <w:rPr>
          <w:spacing w:val="-17"/>
        </w:rPr>
        <w:t xml:space="preserve"> </w:t>
      </w:r>
      <w:r>
        <w:rPr>
          <w:spacing w:val="-8"/>
        </w:rPr>
        <w:t>We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 xml:space="preserve">determined that AKR1C1-1C3 and NQO1 contribute equally to the </w:t>
      </w:r>
      <w:proofErr w:type="spellStart"/>
      <w:r>
        <w:t>nitroreduction</w:t>
      </w:r>
      <w:proofErr w:type="spellEnd"/>
      <w:r>
        <w:t xml:space="preserve"> of 3-NBA in lung epithelial cell</w:t>
      </w:r>
      <w:r>
        <w:rPr>
          <w:spacing w:val="-21"/>
        </w:rPr>
        <w:t xml:space="preserve"> </w:t>
      </w:r>
      <w:r>
        <w:t>lines</w:t>
      </w:r>
      <w:r>
        <w:rPr>
          <w:spacing w:val="-21"/>
        </w:rPr>
        <w:t xml:space="preserve"> </w:t>
      </w:r>
      <w:r>
        <w:t>(A549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HBEC3-KT)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combined</w:t>
      </w:r>
      <w:r>
        <w:rPr>
          <w:spacing w:val="-20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represent</w:t>
      </w:r>
      <w:r>
        <w:rPr>
          <w:spacing w:val="-20"/>
        </w:rPr>
        <w:t xml:space="preserve"> </w:t>
      </w:r>
      <w:r>
        <w:t>approximately</w:t>
      </w:r>
      <w:r>
        <w:rPr>
          <w:spacing w:val="-21"/>
        </w:rPr>
        <w:t xml:space="preserve"> </w:t>
      </w:r>
      <w:r>
        <w:t>50%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intracellular </w:t>
      </w:r>
      <w:proofErr w:type="spellStart"/>
      <w:r>
        <w:t>nitroreductase</w:t>
      </w:r>
      <w:proofErr w:type="spellEnd"/>
      <w:r>
        <w:rPr>
          <w:spacing w:val="-20"/>
        </w:rPr>
        <w:t xml:space="preserve"> </w:t>
      </w:r>
      <w:r>
        <w:t>activity</w:t>
      </w:r>
      <w:r>
        <w:rPr>
          <w:spacing w:val="-20"/>
        </w:rPr>
        <w:t xml:space="preserve"> </w:t>
      </w:r>
      <w:r>
        <w:t>towards</w:t>
      </w:r>
      <w:r>
        <w:rPr>
          <w:spacing w:val="-20"/>
        </w:rPr>
        <w:t xml:space="preserve"> </w:t>
      </w:r>
      <w:r>
        <w:t>3-NBA.</w:t>
      </w:r>
      <w:r>
        <w:rPr>
          <w:spacing w:val="-2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enzymes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induced</w:t>
      </w:r>
      <w:r>
        <w:rPr>
          <w:spacing w:val="-20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Nrf2</w:t>
      </w:r>
      <w:r>
        <w:rPr>
          <w:spacing w:val="-20"/>
        </w:rPr>
        <w:t xml:space="preserve"> </w:t>
      </w:r>
      <w:r>
        <w:t>signaling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raises</w:t>
      </w:r>
      <w:r>
        <w:rPr>
          <w:spacing w:val="-20"/>
        </w:rPr>
        <w:t xml:space="preserve"> </w:t>
      </w:r>
      <w:r>
        <w:t>the question</w:t>
      </w:r>
      <w:r>
        <w:rPr>
          <w:spacing w:val="-31"/>
        </w:rPr>
        <w:t xml:space="preserve"> </w:t>
      </w:r>
      <w:r>
        <w:t>whether</w:t>
      </w:r>
      <w:r>
        <w:rPr>
          <w:spacing w:val="-30"/>
        </w:rPr>
        <w:t xml:space="preserve"> </w:t>
      </w:r>
      <w:r>
        <w:t>Nrf2</w:t>
      </w:r>
      <w:r>
        <w:rPr>
          <w:spacing w:val="-31"/>
        </w:rPr>
        <w:t xml:space="preserve"> </w:t>
      </w:r>
      <w:r>
        <w:t>activation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proofErr w:type="spellStart"/>
      <w:r>
        <w:t>chemopreventive</w:t>
      </w:r>
      <w:proofErr w:type="spellEnd"/>
      <w:r>
        <w:rPr>
          <w:spacing w:val="-31"/>
        </w:rPr>
        <w:t xml:space="preserve"> </w:t>
      </w:r>
      <w:r>
        <w:t>strategy</w:t>
      </w:r>
      <w:r>
        <w:rPr>
          <w:spacing w:val="-30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t>exacerbate</w:t>
      </w:r>
      <w:r>
        <w:rPr>
          <w:spacing w:val="-30"/>
        </w:rPr>
        <w:t xml:space="preserve"> </w:t>
      </w:r>
      <w:r>
        <w:t>3-NBA</w:t>
      </w:r>
      <w:r>
        <w:rPr>
          <w:spacing w:val="-31"/>
        </w:rPr>
        <w:t xml:space="preserve"> </w:t>
      </w:r>
      <w:r>
        <w:t>toxification.</w:t>
      </w:r>
      <w:r>
        <w:rPr>
          <w:spacing w:val="-35"/>
        </w:rPr>
        <w:t xml:space="preserve"> </w:t>
      </w:r>
      <w:r>
        <w:rPr>
          <w:spacing w:val="-13"/>
        </w:rPr>
        <w:t xml:space="preserve">To </w:t>
      </w:r>
      <w:r>
        <w:t>evaluate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role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Nrf2</w:t>
      </w:r>
      <w:r>
        <w:rPr>
          <w:spacing w:val="-17"/>
        </w:rPr>
        <w:t xml:space="preserve"> </w:t>
      </w:r>
      <w:r>
        <w:t>signaling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nitroarene</w:t>
      </w:r>
      <w:r>
        <w:rPr>
          <w:spacing w:val="-17"/>
        </w:rPr>
        <w:t xml:space="preserve"> </w:t>
      </w:r>
      <w:r>
        <w:t>activation,</w:t>
      </w:r>
      <w:r>
        <w:rPr>
          <w:spacing w:val="-17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tested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effects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Nrf2</w:t>
      </w:r>
      <w:r>
        <w:rPr>
          <w:spacing w:val="-17"/>
        </w:rPr>
        <w:t xml:space="preserve"> </w:t>
      </w:r>
      <w:r>
        <w:t>inducers</w:t>
      </w:r>
      <w:r>
        <w:rPr>
          <w:spacing w:val="-17"/>
        </w:rPr>
        <w:t xml:space="preserve"> </w:t>
      </w:r>
      <w:r>
        <w:t>(</w:t>
      </w:r>
      <w:proofErr w:type="gramStart"/>
      <w:r>
        <w:t>e.g.</w:t>
      </w:r>
      <w:proofErr w:type="gramEnd"/>
      <w:r>
        <w:t xml:space="preserve"> sulforaphane, synthetic triterpenoids) in human bronchial epithelial cells (HBEC3-KT). Since A549 cells have constitutively active Nrf2 signaling due to a KEAP1 mutation, we examined the effect of heterozygous</w:t>
      </w:r>
      <w:r>
        <w:rPr>
          <w:spacing w:val="-13"/>
        </w:rPr>
        <w:t xml:space="preserve"> </w:t>
      </w:r>
      <w:r>
        <w:t>(Nrf2-Het)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homozygous</w:t>
      </w:r>
      <w:r>
        <w:rPr>
          <w:spacing w:val="-12"/>
        </w:rPr>
        <w:t xml:space="preserve"> </w:t>
      </w:r>
      <w:r>
        <w:t>(Nrf2-KO)</w:t>
      </w:r>
      <w:r>
        <w:rPr>
          <w:spacing w:val="-12"/>
        </w:rPr>
        <w:t xml:space="preserve"> </w:t>
      </w:r>
      <w:r>
        <w:t>Nrf2</w:t>
      </w:r>
      <w:r>
        <w:rPr>
          <w:spacing w:val="-12"/>
        </w:rPr>
        <w:t xml:space="preserve"> </w:t>
      </w:r>
      <w:r>
        <w:t>knockout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CRISPR-Cas9</w:t>
      </w:r>
      <w:r>
        <w:rPr>
          <w:spacing w:val="-12"/>
        </w:rPr>
        <w:t xml:space="preserve"> </w:t>
      </w:r>
      <w:r>
        <w:t>gene</w:t>
      </w:r>
      <w:r>
        <w:rPr>
          <w:spacing w:val="-12"/>
        </w:rPr>
        <w:t xml:space="preserve"> </w:t>
      </w:r>
      <w:r>
        <w:t>editing. Upregulation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AKR1C1-3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NQO1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Nrf2</w:t>
      </w:r>
      <w:r>
        <w:rPr>
          <w:spacing w:val="-4"/>
        </w:rPr>
        <w:t xml:space="preserve"> </w:t>
      </w:r>
      <w:r>
        <w:t>inducers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downregulation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CRISPR-Cas9</w:t>
      </w:r>
      <w:r>
        <w:rPr>
          <w:spacing w:val="-4"/>
        </w:rPr>
        <w:t xml:space="preserve"> KO </w:t>
      </w:r>
      <w:r>
        <w:t>was</w:t>
      </w:r>
      <w:r>
        <w:rPr>
          <w:spacing w:val="-14"/>
        </w:rPr>
        <w:t xml:space="preserve"> </w:t>
      </w:r>
      <w:r>
        <w:t>confirmed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quantified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qPCR,</w:t>
      </w:r>
      <w:r>
        <w:rPr>
          <w:spacing w:val="-14"/>
        </w:rPr>
        <w:t xml:space="preserve"> </w:t>
      </w:r>
      <w:r>
        <w:t>immunoblots,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enzyme</w:t>
      </w:r>
      <w:r>
        <w:rPr>
          <w:spacing w:val="-14"/>
        </w:rPr>
        <w:t xml:space="preserve"> </w:t>
      </w:r>
      <w:r>
        <w:t>activity</w:t>
      </w:r>
      <w:r>
        <w:rPr>
          <w:spacing w:val="-14"/>
        </w:rPr>
        <w:t xml:space="preserve"> </w:t>
      </w:r>
      <w:r>
        <w:t>assays.</w:t>
      </w:r>
      <w:r>
        <w:rPr>
          <w:spacing w:val="-17"/>
        </w:rPr>
        <w:t xml:space="preserve"> </w:t>
      </w:r>
      <w:r>
        <w:rPr>
          <w:spacing w:val="-8"/>
        </w:rPr>
        <w:t>We</w:t>
      </w:r>
      <w:r>
        <w:rPr>
          <w:spacing w:val="-14"/>
        </w:rPr>
        <w:t xml:space="preserve"> </w:t>
      </w:r>
      <w:r>
        <w:t>observed</w:t>
      </w:r>
      <w:r>
        <w:rPr>
          <w:spacing w:val="-14"/>
        </w:rPr>
        <w:t xml:space="preserve"> </w:t>
      </w:r>
      <w:r>
        <w:t>40% increases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3-NBA</w:t>
      </w:r>
      <w:r>
        <w:rPr>
          <w:spacing w:val="-14"/>
        </w:rPr>
        <w:t xml:space="preserve"> </w:t>
      </w:r>
      <w:r>
        <w:t>bioactivation</w:t>
      </w:r>
      <w:r>
        <w:rPr>
          <w:spacing w:val="-13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Nrf2</w:t>
      </w:r>
      <w:r>
        <w:rPr>
          <w:spacing w:val="-13"/>
        </w:rPr>
        <w:t xml:space="preserve"> </w:t>
      </w:r>
      <w:r>
        <w:t>inducers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HBEC3-KT</w:t>
      </w:r>
      <w:r>
        <w:rPr>
          <w:spacing w:val="-13"/>
        </w:rPr>
        <w:t xml:space="preserve"> </w:t>
      </w:r>
      <w:r>
        <w:t>cells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reduction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3-NBA activation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A549</w:t>
      </w:r>
      <w:r>
        <w:rPr>
          <w:spacing w:val="-7"/>
        </w:rPr>
        <w:t xml:space="preserve"> </w:t>
      </w:r>
      <w:r>
        <w:t>Nrf2</w:t>
      </w:r>
      <w:r>
        <w:rPr>
          <w:spacing w:val="-7"/>
        </w:rPr>
        <w:t xml:space="preserve"> </w:t>
      </w:r>
      <w:r>
        <w:rPr>
          <w:spacing w:val="-4"/>
        </w:rPr>
        <w:t>KO</w:t>
      </w:r>
      <w:r>
        <w:rPr>
          <w:spacing w:val="-6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lines</w:t>
      </w:r>
      <w:r>
        <w:rPr>
          <w:spacing w:val="-7"/>
        </w:rPr>
        <w:t xml:space="preserve"> </w:t>
      </w:r>
      <w:r>
        <w:t>(53%</w:t>
      </w:r>
      <w:r>
        <w:rPr>
          <w:spacing w:val="-6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Nrf2-Het</w:t>
      </w:r>
      <w:r>
        <w:rPr>
          <w:spacing w:val="-7"/>
        </w:rPr>
        <w:t xml:space="preserve"> </w:t>
      </w:r>
      <w:r>
        <w:t>A549</w:t>
      </w:r>
      <w:r>
        <w:rPr>
          <w:spacing w:val="-7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82%</w:t>
      </w:r>
      <w:r>
        <w:rPr>
          <w:spacing w:val="-7"/>
        </w:rPr>
        <w:t xml:space="preserve"> </w:t>
      </w:r>
      <w:r>
        <w:t>reduction in Nrf2-KO A549 cells). Enhanced 3-NBA metabolic activation due to Nrf2 activity may lead to an increase in DNA adduct burden which would promote mutagenesis. Nrf2 signaling is considered protective</w:t>
      </w:r>
      <w:r>
        <w:rPr>
          <w:spacing w:val="-12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cancer</w:t>
      </w:r>
      <w:r>
        <w:rPr>
          <w:spacing w:val="-11"/>
        </w:rPr>
        <w:t xml:space="preserve"> </w:t>
      </w:r>
      <w:r>
        <w:t>initiation</w:t>
      </w:r>
      <w:r>
        <w:rPr>
          <w:spacing w:val="-11"/>
        </w:rPr>
        <w:t xml:space="preserve"> </w:t>
      </w:r>
      <w:r>
        <w:t>despite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well-recognized</w:t>
      </w:r>
      <w:r>
        <w:rPr>
          <w:spacing w:val="-11"/>
        </w:rPr>
        <w:t xml:space="preserve"> </w:t>
      </w:r>
      <w:r>
        <w:t>dark</w:t>
      </w:r>
      <w:r>
        <w:rPr>
          <w:spacing w:val="-11"/>
        </w:rPr>
        <w:t xml:space="preserve"> </w:t>
      </w:r>
      <w:r>
        <w:t>side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Nrf2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cancer</w:t>
      </w:r>
      <w:r>
        <w:rPr>
          <w:spacing w:val="-11"/>
        </w:rPr>
        <w:t xml:space="preserve"> </w:t>
      </w:r>
      <w:r>
        <w:t>promotion and</w:t>
      </w:r>
      <w:r>
        <w:rPr>
          <w:spacing w:val="-23"/>
        </w:rPr>
        <w:t xml:space="preserve"> </w:t>
      </w:r>
      <w:r>
        <w:t>progression.</w:t>
      </w:r>
      <w:r>
        <w:rPr>
          <w:spacing w:val="-23"/>
        </w:rPr>
        <w:t xml:space="preserve"> </w:t>
      </w:r>
      <w:r>
        <w:t>Given</w:t>
      </w:r>
      <w:r>
        <w:rPr>
          <w:spacing w:val="-22"/>
        </w:rPr>
        <w:t xml:space="preserve"> </w:t>
      </w:r>
      <w:r>
        <w:t>these</w:t>
      </w:r>
      <w:r>
        <w:rPr>
          <w:spacing w:val="-23"/>
        </w:rPr>
        <w:t xml:space="preserve"> </w:t>
      </w:r>
      <w:r>
        <w:t>data,</w:t>
      </w:r>
      <w:r>
        <w:rPr>
          <w:spacing w:val="-23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appropriate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explore</w:t>
      </w:r>
      <w:r>
        <w:rPr>
          <w:spacing w:val="-23"/>
        </w:rPr>
        <w:t xml:space="preserve"> </w:t>
      </w:r>
      <w:r>
        <w:t>whether</w:t>
      </w:r>
      <w:r>
        <w:rPr>
          <w:spacing w:val="-22"/>
        </w:rPr>
        <w:t xml:space="preserve"> </w:t>
      </w:r>
      <w:r>
        <w:t>Nrf2</w:t>
      </w:r>
      <w:r>
        <w:rPr>
          <w:spacing w:val="-23"/>
        </w:rPr>
        <w:t xml:space="preserve"> </w:t>
      </w:r>
      <w:r>
        <w:t>activation</w:t>
      </w:r>
      <w:r>
        <w:rPr>
          <w:spacing w:val="-23"/>
        </w:rPr>
        <w:t xml:space="preserve"> </w:t>
      </w:r>
      <w:r>
        <w:t>plays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role in cancer initiation in certain exposure contexts (</w:t>
      </w:r>
      <w:proofErr w:type="gramStart"/>
      <w:r>
        <w:t>i.e.</w:t>
      </w:r>
      <w:proofErr w:type="gramEnd"/>
      <w:r>
        <w:t xml:space="preserve"> diesel</w:t>
      </w:r>
      <w:r>
        <w:rPr>
          <w:spacing w:val="-2"/>
        </w:rPr>
        <w:t xml:space="preserve"> </w:t>
      </w:r>
      <w:r>
        <w:t>exhaust).</w:t>
      </w:r>
    </w:p>
    <w:p w14:paraId="41954C50" w14:textId="77777777" w:rsidR="003F1AB4" w:rsidRDefault="002F64BE">
      <w:pPr>
        <w:spacing w:before="188" w:line="265" w:lineRule="exact"/>
        <w:ind w:left="681"/>
        <w:rPr>
          <w:rFonts w:ascii="Book Antiqua"/>
          <w:i/>
        </w:rPr>
      </w:pPr>
      <w:r>
        <w:rPr>
          <w:rFonts w:ascii="Book Antiqua"/>
          <w:i/>
          <w:w w:val="95"/>
        </w:rPr>
        <w:t>This work was supported by PhRMA Foundation Pharmacology/Toxicology Pre-Doctoral Fellowship to</w:t>
      </w:r>
    </w:p>
    <w:p w14:paraId="179D60C6" w14:textId="77777777" w:rsidR="003F1AB4" w:rsidRDefault="002F64BE">
      <w:pPr>
        <w:spacing w:line="265" w:lineRule="exact"/>
        <w:ind w:left="681"/>
        <w:rPr>
          <w:rFonts w:ascii="Book Antiqua"/>
          <w:i/>
        </w:rPr>
      </w:pPr>
      <w:r>
        <w:rPr>
          <w:rFonts w:ascii="Book Antiqua"/>
          <w:i/>
        </w:rPr>
        <w:t>J.R.M. and P30-ES013508 to T.M.P.</w:t>
      </w:r>
    </w:p>
    <w:p w14:paraId="0B9638E4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1D1135B5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3846210B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756E76FD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29D7B981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3F44B6D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DFE6BF6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0480B4A2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89E4C6B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4BE68D19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66BFC4F5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65F3D2C7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55EA0C16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0EDE8222" w14:textId="77777777" w:rsidR="003F1AB4" w:rsidRDefault="003F1AB4">
      <w:pPr>
        <w:pStyle w:val="BodyText"/>
        <w:rPr>
          <w:rFonts w:ascii="Book Antiqua"/>
          <w:i/>
          <w:sz w:val="20"/>
        </w:rPr>
      </w:pPr>
    </w:p>
    <w:p w14:paraId="0933198A" w14:textId="77777777" w:rsidR="003F1AB4" w:rsidRDefault="003F1AB4">
      <w:pPr>
        <w:pStyle w:val="BodyText"/>
        <w:spacing w:before="3"/>
        <w:rPr>
          <w:rFonts w:ascii="Book Antiqua"/>
          <w:i/>
          <w:sz w:val="21"/>
        </w:rPr>
      </w:pPr>
    </w:p>
    <w:sectPr w:rsidR="003F1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0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5418" w14:textId="77777777" w:rsidR="00DC4AED" w:rsidRDefault="00DC4AED" w:rsidP="00020DBF">
      <w:r>
        <w:separator/>
      </w:r>
    </w:p>
  </w:endnote>
  <w:endnote w:type="continuationSeparator" w:id="0">
    <w:p w14:paraId="1CC0FFF8" w14:textId="77777777" w:rsidR="00DC4AED" w:rsidRDefault="00DC4AED" w:rsidP="0002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69EA" w14:textId="77777777" w:rsidR="00020DBF" w:rsidRDefault="00020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1A82" w14:textId="77777777" w:rsidR="00020DBF" w:rsidRDefault="00020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F637" w14:textId="77777777" w:rsidR="00020DBF" w:rsidRDefault="00020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9B8D" w14:textId="77777777" w:rsidR="00DC4AED" w:rsidRDefault="00DC4AED" w:rsidP="00020DBF">
      <w:r>
        <w:separator/>
      </w:r>
    </w:p>
  </w:footnote>
  <w:footnote w:type="continuationSeparator" w:id="0">
    <w:p w14:paraId="73D31441" w14:textId="77777777" w:rsidR="00DC4AED" w:rsidRDefault="00DC4AED" w:rsidP="0002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AB15" w14:textId="60C29284" w:rsidR="00020DBF" w:rsidRDefault="00DC4AED">
    <w:pPr>
      <w:pStyle w:val="Header"/>
    </w:pPr>
    <w:r>
      <w:rPr>
        <w:noProof/>
      </w:rPr>
      <w:pict w14:anchorId="60A624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665266" o:spid="_x0000_s2051" type="#_x0000_t136" style="position:absolute;margin-left:0;margin-top:0;width:527.45pt;height:150.7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7C6E" w14:textId="53A0D2B8" w:rsidR="00020DBF" w:rsidRDefault="00DC4AED">
    <w:pPr>
      <w:pStyle w:val="Header"/>
    </w:pPr>
    <w:r>
      <w:rPr>
        <w:noProof/>
      </w:rPr>
      <w:pict w14:anchorId="54942D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665267" o:spid="_x0000_s2052" type="#_x0000_t136" style="position:absolute;margin-left:0;margin-top:0;width:527.45pt;height:150.7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8689" w14:textId="2E5F5186" w:rsidR="00020DBF" w:rsidRDefault="00DC4AED">
    <w:pPr>
      <w:pStyle w:val="Header"/>
    </w:pPr>
    <w:r>
      <w:rPr>
        <w:noProof/>
      </w:rPr>
      <w:pict w14:anchorId="16008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665265" o:spid="_x0000_s2050" type="#_x0000_t136" style="position:absolute;margin-left:0;margin-top:0;width:527.45pt;height:150.7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AB4"/>
    <w:rsid w:val="00020DBF"/>
    <w:rsid w:val="001B70D1"/>
    <w:rsid w:val="002F64BE"/>
    <w:rsid w:val="003F1AB4"/>
    <w:rsid w:val="007F2446"/>
    <w:rsid w:val="009E5952"/>
    <w:rsid w:val="00BB33CA"/>
    <w:rsid w:val="00DC4AED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119ED2"/>
  <w15:docId w15:val="{4E0E17E6-8D10-4723-81A5-5A4E49E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yj@pennmedicine.upenn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rayj@pennmedicine.upenn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Williams, Paula K</cp:lastModifiedBy>
  <cp:revision>3</cp:revision>
  <dcterms:created xsi:type="dcterms:W3CDTF">2021-09-03T16:30:00Z</dcterms:created>
  <dcterms:modified xsi:type="dcterms:W3CDTF">2021-09-03T16:30:00Z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2021-08-25T00:00:00Z</vt:filetime>
  </property>
</Properties>
</file>